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1.png" ContentType="image/png"/>
  <Override PartName="/word/media/image10.jpeg" ContentType="image/jpeg"/>
  <Override PartName="/word/media/image7.png" ContentType="image/png"/>
  <Override PartName="/word/media/image8.png" ContentType="image/png"/>
  <Override PartName="/word/media/image9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Prot. n. 397</w:t>
        <w:tab/>
        <w:tab/>
        <w:tab/>
        <w:tab/>
        <w:tab/>
        <w:tab/>
        <w:t xml:space="preserve">           Carpignano Sesia, 27 giugno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Agli atti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Sito Istituzionale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Alle Ditte Invitate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A3-FESRPON-PI-2015-436”;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F26J15001210007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ZCC199C082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ASSEGNAZIONE PROVVISORIA DITTA ESECUTIVA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ind w:hanging="0" w:left="720" w:right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12810 del 15/10/2015;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5888 del 30/03/2016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A3-FESRPON-PI-2015-436”;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A3-FESRPON-PI-2015-436”;</w:t>
      </w:r>
    </w:p>
    <w:p>
      <w:pPr>
        <w:pStyle w:val="style0"/>
        <w:rPr>
          <w:rFonts w:ascii="Calibri" w:cs="Calibri" w:hAnsi="Calibri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Calibri" w:cs="Calibri" w:hAnsi="Calibri"/>
        </w:rPr>
        <w:t>il provvedimento Dirigenziale prot.n. 313/I del 16/05/16, relativo all'assunzione in bilancio del progetto autorizzato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VISTA</w:t>
      </w:r>
      <w:r>
        <w:rPr>
          <w:rFonts w:ascii="Arial" w:cs="Arial" w:hAnsi="Arial"/>
          <w:sz w:val="22"/>
          <w:szCs w:val="22"/>
        </w:rPr>
        <w:t xml:space="preserve"> le offerte presentate tramite RDO  per l’attività di esecuzione e realizzazione del F.E.S.R.</w:t>
      </w:r>
    </w:p>
    <w:p>
      <w:pPr>
        <w:pStyle w:val="style0"/>
        <w:pageBreakBefore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 xml:space="preserve">il verbale di attribuzione del punteggio per la valutazione delle offerte presentate dalla commissione aggiudicatrice; </w:t>
      </w:r>
    </w:p>
    <w:p>
      <w:pPr>
        <w:pStyle w:val="style0"/>
        <w:jc w:val="both"/>
        <w:rPr>
          <w:rFonts w:ascii="Arial" w:cs="Arial" w:hAnsi="Arial"/>
          <w:b/>
          <w:color w:val="FF0000"/>
          <w:sz w:val="22"/>
          <w:szCs w:val="22"/>
        </w:rPr>
      </w:pPr>
      <w:r>
        <w:rPr>
          <w:rFonts w:ascii="Arial" w:cs="Arial" w:hAnsi="Arial"/>
          <w:b/>
          <w:color w:val="FF0000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ASSEGNA PROVVISORIAMENTE</w:t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Alla Ditta SUPERCOPY DI APRILE IMMACOLATA la realizzazione del progetto relativo al 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 xml:space="preserve">10.8.1. A3-FESRPON-PI-2015-436” relativo alla parte di acquisto TOTEM </w:t>
      </w:r>
      <w:bookmarkStart w:id="0" w:name="_GoBack"/>
      <w:bookmarkEnd w:id="0"/>
      <w:r>
        <w:rPr>
          <w:rFonts w:ascii="Arial" w:cs="Arial" w:hAnsi="Arial"/>
          <w:sz w:val="22"/>
          <w:szCs w:val="22"/>
        </w:rPr>
        <w:t>per la quale la stessa ditta era stata invitata a presentare offerta economica su MEPA tramite RDO.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Si precisa che essendo attiva una convenzione in Consip l’aggiudicazione definitiva sarà subordinata alla verifica di tale convenzione alla quale si è obbligati ad aderire in qualità di P.A.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   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1145540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1145540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2" simplePos="0">
            <wp:simplePos x="0" y="0"/>
            <wp:positionH relativeFrom="column">
              <wp:posOffset>2527935</wp:posOffset>
            </wp:positionH>
            <wp:positionV relativeFrom="paragraph">
              <wp:posOffset>970280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0"/>
      <w:rPr/>
    </w:pPr>
    <w:r>
      <w:rPr/>
      <w:tab/>
      <w:tab/>
      <w:tab/>
      <w:tab/>
      <w:t xml:space="preserve">              Via Ettore Piazza 5</w:t>
      <w:tab/>
    </w:r>
  </w:p>
  <w:p>
    <w:pPr>
      <w:pStyle w:val="style0"/>
      <w:rPr/>
    </w:pPr>
    <w:r>
      <w:rPr/>
      <w:tab/>
      <w:tab/>
      <w:tab/>
      <w:tab/>
      <w:t xml:space="preserve">                Tel: 0321/825185</w:t>
      <w:tab/>
    </w:r>
  </w:p>
  <w:p>
    <w:pPr>
      <w:pStyle w:val="style3"/>
      <w:jc w:val="left"/>
      <w:rPr>
        <w:rStyle w:val="style16"/>
        <w:rFonts w:ascii="Arial" w:cs="Arial" w:hAnsi="Arial"/>
        <w:color w:val="0000FF"/>
        <w:sz w:val="16"/>
        <w:szCs w:val="16"/>
        <w:u w:val="single"/>
        <w:lang w:val="fr-FR"/>
      </w:rPr>
    </w:pPr>
    <w:r>
      <w:rPr/>
      <w:tab/>
      <w:tab/>
      <w:tab/>
      <w:t xml:space="preserve">        </w:t>
    </w:r>
    <w:r>
      <w:rPr>
        <w:rFonts w:ascii="Arial" w:cs="Arial" w:hAnsi="Arial"/>
        <w:sz w:val="16"/>
        <w:szCs w:val="16"/>
        <w:lang w:val="fr-FR"/>
      </w:rPr>
      <w:t xml:space="preserve">Email: </w:t>
    </w:r>
    <w:hyperlink r:id="rId3">
      <w:r>
        <w:rPr>
          <w:rStyle w:val="style16"/>
          <w:rFonts w:ascii="Arial" w:cs="Arial" w:hAnsi="Arial"/>
          <w:color w:val="0000FF"/>
          <w:sz w:val="16"/>
          <w:szCs w:val="16"/>
          <w:u w:val="single"/>
          <w:lang w:val="fr-FR"/>
        </w:rPr>
        <w:t>noic80700p@istruzione.it</w:t>
      </w:r>
    </w:hyperlink>
  </w:p>
  <w:p>
    <w:pPr>
      <w:pStyle w:val="style0"/>
      <w:rPr/>
    </w:pPr>
    <w:r>
      <w:rPr/>
      <w:tab/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15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9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1.png"/><Relationship Id="rId3" Type="http://schemas.openxmlformats.org/officeDocument/2006/relationships/hyperlink" Target="mailto:novc010008@istruzione.it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2016-06-28T07:51:00Z</dcterms:created>
  <dc:creator>Enrico Guenzi</dc:creator>
  <cp:lastModifiedBy>Giuseppe Gioiosa</cp:lastModifiedBy>
  <cp:lastPrinted>2016-06-28T09:06:00Z</cp:lastPrinted>
  <dcterms:modified xsi:type="dcterms:W3CDTF">2016-06-28T09:08:00Z</dcterms:modified>
  <cp:revision>5</cp:revision>
  <dc:title>aflfaiuhtag</dc:title>
</cp:coreProperties>
</file>