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c0504d" w:space="0" w:sz="16" w:val="single"/>
          <w:left w:color="c0504d" w:space="0" w:sz="16" w:val="single"/>
          <w:bottom w:color="c0504d" w:space="0" w:sz="16" w:val="single"/>
          <w:right w:color="c0504d" w:space="0" w:sz="16" w:val="single"/>
          <w:between w:space="0" w:sz="0" w:val="nil"/>
        </w:pBdr>
        <w:shd w:fill="auto" w:val="clear"/>
        <w:spacing w:after="666" w:before="0" w:line="259" w:lineRule="auto"/>
        <w:ind w:left="0" w:right="421"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SECONDARIA DI PRIMO GRADO </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0490"/>
        </w:tabs>
        <w:spacing w:after="0" w:before="0" w:line="374" w:lineRule="auto"/>
        <w:ind w:left="0" w:right="185"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Pr>
        <w:drawing>
          <wp:inline distB="0" distT="0" distL="114300" distR="114300">
            <wp:extent cx="6776085" cy="202819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776085" cy="202819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284" w:right="185"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hanging="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6"/>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DESCRITTIVO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302.0" w:type="dxa"/>
        <w:tblLayout w:type="fixed"/>
        <w:tblLook w:val="00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3035" y="17754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E">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068.0" w:type="dxa"/>
        <w:jc w:val="left"/>
        <w:tblInd w:w="302.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Altre figure specialiste interne ed esterne che intervengono nel processo educativo dell’alunno</w:t>
      </w:r>
      <w:r w:rsidDel="00000000" w:rsidR="00000000" w:rsidRPr="00000000">
        <w:rPr>
          <w:rtl w:val="0"/>
        </w:rPr>
      </w:r>
    </w:p>
    <w:tbl>
      <w:tblPr>
        <w:tblStyle w:val="Table3"/>
        <w:tblW w:w="10046.0" w:type="dxa"/>
        <w:jc w:val="left"/>
        <w:tblInd w:w="302.0" w:type="dxa"/>
        <w:tblLayout w:type="fixed"/>
        <w:tblLook w:val="0000"/>
      </w:tblPr>
      <w:tblGrid>
        <w:gridCol w:w="4376"/>
        <w:gridCol w:w="5670"/>
        <w:tblGridChange w:id="0">
          <w:tblGrid>
            <w:gridCol w:w="4376"/>
            <w:gridCol w:w="5670"/>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08"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7"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descrittivo di Funzionamento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7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28" w:lineRule="auto"/>
        <w:ind w:left="530"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79.0" w:type="dxa"/>
        <w:tblLayout w:type="fixed"/>
        <w:tblLook w:val="00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s>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6A">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smallCaps w:val="0"/>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w:t>
      </w:r>
    </w:p>
    <w:p w:rsidR="00000000" w:rsidDel="00000000" w:rsidP="00000000" w:rsidRDefault="00000000" w:rsidRPr="00000000" w14:paraId="0000006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87" w:before="0" w:line="249" w:lineRule="auto"/>
        <w:ind w:left="36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300.0" w:type="dxa"/>
        <w:tblLayout w:type="fixed"/>
        <w:tblLook w:val="00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smallCaps w:val="0"/>
        </w:rPr>
      </w:pP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7"/>
        <w:tblW w:w="10209.0" w:type="dxa"/>
        <w:jc w:val="left"/>
        <w:tblInd w:w="302.0" w:type="dxa"/>
        <w:tblLayout w:type="fixed"/>
        <w:tblLook w:val="00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9" w:right="0" w:hanging="10"/>
        <w:jc w:val="left"/>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8"/>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9"/>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0"/>
        <w:tblW w:w="10209.0" w:type="dxa"/>
        <w:jc w:val="left"/>
        <w:tblInd w:w="300.0" w:type="dxa"/>
        <w:tblLayout w:type="fixed"/>
        <w:tblLook w:val="00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1"/>
        <w:tblW w:w="10209.0" w:type="dxa"/>
        <w:jc w:val="left"/>
        <w:tblInd w:w="300.0" w:type="dxa"/>
        <w:tblLayout w:type="fixed"/>
        <w:tblLook w:val="00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2"/>
        <w:tblW w:w="10346.0" w:type="dxa"/>
        <w:jc w:val="left"/>
        <w:tblInd w:w="200.0" w:type="dxa"/>
        <w:tblLayout w:type="fixed"/>
        <w:tblLook w:val="00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69"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8.2 Progettazione disciplinare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3"/>
        <w:tblW w:w="10375.0" w:type="dxa"/>
        <w:jc w:val="left"/>
        <w:tblInd w:w="158.0" w:type="dxa"/>
        <w:tblLayout w:type="fixed"/>
        <w:tblLook w:val="00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 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valutazione______________________________________________________________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14"/>
        <w:tblW w:w="9784.0" w:type="dxa"/>
        <w:jc w:val="left"/>
        <w:tblInd w:w="158.0" w:type="dxa"/>
        <w:tblLayout w:type="fixed"/>
        <w:tblLook w:val="00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06" w:before="0" w:line="259" w:lineRule="auto"/>
        <w:ind w:left="37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5411"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15"/>
        <w:tblW w:w="9692.0" w:type="dxa"/>
        <w:jc w:val="left"/>
        <w:tblInd w:w="297.0" w:type="dxa"/>
        <w:tblLayout w:type="fixed"/>
        <w:tblLook w:val="00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l'insegnante di sostegno </w:t>
              <w:tab/>
              <w:t xml:space="preserv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16"/>
        <w:tblW w:w="10351.000000000002" w:type="dxa"/>
        <w:jc w:val="left"/>
        <w:tblInd w:w="160.0" w:type="dxa"/>
        <w:tblLayout w:type="fixed"/>
        <w:tblLook w:val="00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 </w:t>
            </w: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17"/>
        <w:tblW w:w="10351.0" w:type="dxa"/>
        <w:jc w:val="left"/>
        <w:tblInd w:w="158.0" w:type="dxa"/>
        <w:tblLayout w:type="fixed"/>
        <w:tblLook w:val="00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6" w:lineRule="auto"/>
              <w:ind w:left="0" w:right="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vertAlign w:val="baselin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5"/>
        <w:szCs w:val="5"/>
        <w:u w:val="none"/>
        <w:shd w:fill="auto" w:val="clear"/>
        <w:vertAlign w:val="baseline"/>
      </w:rPr>
      <w:drawing>
        <wp:inline distB="0" distT="0" distL="114300" distR="114300">
          <wp:extent cx="485775" cy="485140"/>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5775" cy="48514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92" w:hanging="592"/>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i w:val="0"/>
        <w:strike w:val="0"/>
        <w:color w:val="000000"/>
        <w:sz w:val="21"/>
        <w:szCs w:val="21"/>
        <w:u w:val="none"/>
        <w:shd w:fill="auto" w:val="clear"/>
        <w:vertAlign w:val="baseline"/>
      </w:rPr>
    </w:lvl>
  </w:abstractNum>
  <w:abstractNum w:abstractNumId="2">
    <w:lvl w:ilvl="0">
      <w:start w:val="1"/>
      <w:numFmt w:val="upperLetter"/>
      <w:lvlText w:val="%1."/>
      <w:lvlJc w:val="left"/>
      <w:pPr>
        <w:ind w:left="285" w:hanging="285"/>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47.0" w:type="dxa"/>
        <w:left w:w="110.0" w:type="dxa"/>
        <w:bottom w:w="0.0" w:type="dxa"/>
        <w:right w:w="78.0" w:type="dxa"/>
      </w:tblCellMar>
    </w:tblPr>
  </w:style>
  <w:style w:type="table" w:styleId="Table7">
    <w:basedOn w:val="TableNormal"/>
    <w:tblPr>
      <w:tblStyleRowBandSize w:val="1"/>
      <w:tblStyleColBandSize w:val="1"/>
      <w:tblCellMar>
        <w:top w:w="47.0" w:type="dxa"/>
        <w:left w:w="108.0" w:type="dxa"/>
        <w:bottom w:w="0.0" w:type="dxa"/>
        <w:right w:w="98.0" w:type="dxa"/>
      </w:tblCellMar>
    </w:tblPr>
  </w:style>
  <w:style w:type="table" w:styleId="Table8">
    <w:basedOn w:val="TableNormal"/>
    <w:tblPr>
      <w:tblStyleRowBandSize w:val="1"/>
      <w:tblStyleColBandSize w:val="1"/>
      <w:tblCellMar>
        <w:top w:w="47.0" w:type="dxa"/>
        <w:left w:w="110.0" w:type="dxa"/>
        <w:bottom w:w="0.0" w:type="dxa"/>
        <w:right w:w="7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50.0" w:type="dxa"/>
        <w:left w:w="110.0" w:type="dxa"/>
        <w:bottom w:w="0.0" w:type="dxa"/>
        <w:right w:w="115.0" w:type="dxa"/>
      </w:tblCellMar>
    </w:tblPr>
  </w:style>
  <w:style w:type="table" w:styleId="Table11">
    <w:basedOn w:val="TableNormal"/>
    <w:tblPr>
      <w:tblStyleRowBandSize w:val="1"/>
      <w:tblStyleColBandSize w:val="1"/>
      <w:tblCellMar>
        <w:top w:w="50.0" w:type="dxa"/>
        <w:left w:w="110.0" w:type="dxa"/>
        <w:bottom w:w="0.0" w:type="dxa"/>
        <w:right w:w="115.0" w:type="dxa"/>
      </w:tblCellMar>
    </w:tblPr>
  </w:style>
  <w:style w:type="table" w:styleId="Table12">
    <w:basedOn w:val="TableNormal"/>
    <w:tblPr>
      <w:tblStyleRowBandSize w:val="1"/>
      <w:tblStyleColBandSize w:val="1"/>
      <w:tblCellMar>
        <w:top w:w="54.0" w:type="dxa"/>
        <w:left w:w="97.0" w:type="dxa"/>
        <w:bottom w:w="0.0" w:type="dxa"/>
        <w:right w:w="115.0" w:type="dxa"/>
      </w:tblCellMar>
    </w:tblPr>
  </w:style>
  <w:style w:type="table" w:styleId="Table13">
    <w:basedOn w:val="TableNormal"/>
    <w:tblPr>
      <w:tblStyleRowBandSize w:val="1"/>
      <w:tblStyleColBandSize w:val="1"/>
      <w:tblCellMar>
        <w:top w:w="54.0" w:type="dxa"/>
        <w:left w:w="110.0" w:type="dxa"/>
        <w:bottom w:w="0.0" w:type="dxa"/>
        <w:right w:w="47.0" w:type="dxa"/>
      </w:tblCellMar>
    </w:tblPr>
  </w:style>
  <w:style w:type="table" w:styleId="Table14">
    <w:basedOn w:val="TableNormal"/>
    <w:tblPr>
      <w:tblStyleRowBandSize w:val="1"/>
      <w:tblStyleColBandSize w:val="1"/>
      <w:tblCellMar>
        <w:top w:w="54.0" w:type="dxa"/>
        <w:left w:w="110.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47.0" w:type="dxa"/>
        <w:left w:w="108.0" w:type="dxa"/>
        <w:bottom w:w="0.0" w:type="dxa"/>
        <w:right w:w="82.0" w:type="dxa"/>
      </w:tblCellMar>
    </w:tblPr>
  </w:style>
  <w:style w:type="table" w:styleId="Table17">
    <w:basedOn w:val="TableNormal"/>
    <w:tblPr>
      <w:tblStyleRowBandSize w:val="1"/>
      <w:tblStyleColBandSize w:val="1"/>
      <w:tblCellMar>
        <w:top w:w="47.0" w:type="dxa"/>
        <w:left w:w="110.0" w:type="dxa"/>
        <w:bottom w:w="0.0" w:type="dxa"/>
        <w:right w:w="5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