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4.png" ContentType="image/png"/>
  <Override PartName="/word/media/image35.jpeg" ContentType="image/jpeg"/>
  <Override PartName="/word/media/image32.png" ContentType="image/png"/>
  <Override PartName="/word/media/image36.png" ContentType="image/png"/>
  <Override PartName="/word/media/image33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Prot. n. 113/I </w:t>
        <w:tab/>
        <w:tab/>
        <w:tab/>
        <w:tab/>
        <w:tab/>
        <w:tab/>
        <w:t xml:space="preserve">           Carpignano Sesia, 24 ottobre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sig.ra Ferrari Fabiana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 DSGA Gioiosa Giuseppe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Sede 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A2-FESRPON-PI-2015-66”;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F36J15001150007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ZEB189BABD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COMMISSIONE</w:t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SCELTA FORMATORE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ind w:hanging="0" w:left="720" w:right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9035 del 13/07/2015;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1767 del 20/01/2016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CONSIDERATO </w:t>
      </w:r>
      <w:r>
        <w:rPr>
          <w:rFonts w:ascii="Arial" w:cs="Arial" w:hAnsi="Arial"/>
          <w:color w:val="000000"/>
          <w:sz w:val="22"/>
          <w:szCs w:val="22"/>
        </w:rPr>
        <w:t xml:space="preserve">che la procedura di realizzazione dei progetti finanziati con il Programma Operativo Nazionale “2014/2020” FESR </w:t>
      </w:r>
      <w:r>
        <w:rPr>
          <w:rFonts w:ascii="Arial" w:cs="Arial" w:hAnsi="Arial"/>
          <w:b/>
          <w:sz w:val="22"/>
          <w:szCs w:val="22"/>
        </w:rPr>
        <w:t xml:space="preserve">10.8.1. A2-FESRPON-PI-2015-66” </w:t>
      </w:r>
      <w:r>
        <w:rPr>
          <w:rFonts w:ascii="Arial" w:cs="Arial" w:hAnsi="Arial"/>
          <w:color w:val="000000"/>
          <w:sz w:val="22"/>
          <w:szCs w:val="22"/>
        </w:rPr>
        <w:t>prevede anche la fase di progettazione iniziale e poi conclusiva obbligatoria di collaudo;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di reclutamento formatore del 1617/10/2016 prot. n.103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color w:val="FF0000"/>
          <w:sz w:val="22"/>
          <w:szCs w:val="22"/>
        </w:rPr>
      </w:pPr>
      <w:r>
        <w:rPr>
          <w:rFonts w:ascii="Arial" w:cs="Arial" w:hAnsi="Arial"/>
          <w:color w:val="FF0000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b/>
          <w:color w:val="FF0000"/>
          <w:sz w:val="22"/>
          <w:szCs w:val="22"/>
        </w:rPr>
      </w:pPr>
      <w:r>
        <w:rPr>
          <w:rFonts w:ascii="Arial" w:cs="Arial" w:hAnsi="Arial"/>
          <w:b/>
          <w:color w:val="FF0000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la S.V.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Membro della commissione di valutazione candidature</w:t>
      </w:r>
    </w:p>
    <w:p>
      <w:pPr>
        <w:pStyle w:val="style0"/>
        <w:ind w:hanging="0" w:left="360" w:righ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 tale incarico alla S.V. spettano i seguenti compiti:</w:t>
      </w:r>
    </w:p>
    <w:p>
      <w:pPr>
        <w:pStyle w:val="style33"/>
        <w:spacing w:after="84" w:before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Verifica della correttezza delle candidature pervenute.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Calcolo del punteggio assegnato ad ogni candidatura pervenuta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• </w:t>
      </w:r>
      <w:r>
        <w:rPr>
          <w:rFonts w:ascii="Arial" w:cs="Arial" w:hAnsi="Arial"/>
          <w:sz w:val="22"/>
          <w:szCs w:val="22"/>
        </w:rPr>
        <w:t xml:space="preserve">Redazione del verbale della commissione esaminatrice 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L’attività svolta dalla commissione sarà a titolo gratuito.</w:t>
      </w:r>
    </w:p>
    <w:p>
      <w:pPr>
        <w:pStyle w:val="style0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Nella commissione farà parte anche il Dirigente Scolastico dott. Marola Riccardo</w:t>
      </w:r>
    </w:p>
    <w:p>
      <w:pPr>
        <w:pStyle w:val="style0"/>
        <w:spacing w:line="276" w:lineRule="auto"/>
        <w:rPr>
          <w:rFonts w:ascii="Arial" w:cs="Arial" w:hAnsi="Arial"/>
          <w:b/>
          <w:color w:val="000000"/>
          <w:sz w:val="22"/>
          <w:szCs w:val="22"/>
        </w:rPr>
      </w:pPr>
      <w:r>
        <w:rPr>
          <w:rFonts w:ascii="Arial" w:cs="Arial" w:hAnsi="Arial"/>
          <w:b/>
          <w:color w:val="000000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Per accettazione  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                                           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Il Dsga Gioiosa Giuseppe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Sig.ra Ferrari Fabiana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   </w:t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1569720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1569720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2" simplePos="0">
            <wp:simplePos x="0" y="0"/>
            <wp:positionH relativeFrom="column">
              <wp:posOffset>2527935</wp:posOffset>
            </wp:positionH>
            <wp:positionV relativeFrom="paragraph">
              <wp:posOffset>1394460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2.png"/><Relationship Id="rId3" Type="http://schemas.openxmlformats.org/officeDocument/2006/relationships/image" Target="media/image33.png"/><Relationship Id="rId4" Type="http://schemas.openxmlformats.org/officeDocument/2006/relationships/image" Target="media/image34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5.jpeg"/><Relationship Id="rId2" Type="http://schemas.openxmlformats.org/officeDocument/2006/relationships/image" Target="media/image36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2016-10-24T12:49:00Z</dcterms:created>
  <dc:creator>Enrico Guenzi</dc:creator>
  <cp:lastModifiedBy>Giuseppe Gioiosa</cp:lastModifiedBy>
  <cp:lastPrinted>2016-10-25T10:49:00Z</cp:lastPrinted>
  <dcterms:modified xsi:type="dcterms:W3CDTF">2016-10-25T10:53:00Z</dcterms:modified>
  <cp:revision>5</cp:revision>
  <dc:title>aflfaiuhtag</dc:title>
</cp:coreProperties>
</file>